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Style w:val="a6"/>
        <w:tblLook w:val="04A0" w:firstRow="1" w:lastRow="0" w:firstColumn="1" w:lastColumn="0" w:noHBand="0" w:noVBand="1"/>
        <w:tblLayout w:type="autofit"/>
      </w:tblPr>
      <w:tblGrid>
        <w:gridCol w:w="950"/>
        <w:gridCol w:w="662"/>
        <w:gridCol w:w="1430"/>
        <w:gridCol w:w="3745"/>
        <w:gridCol w:w="3708"/>
        <w:gridCol w:w="2030"/>
        <w:gridCol w:w="1430"/>
      </w:tblGrid>
      <w:tr>
        <w:trPr/>
        <w:tc>
          <w:tcPr>
            <w:tcW w:w="950" w:type="dxa"/>
          </w:tcPr>
          <w:p>
            <w:pPr>
              <w:jc w:val="center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제안자</w:t>
            </w:r>
          </w:p>
        </w:tc>
        <w:tc>
          <w:tcPr>
            <w:tcW w:w="662" w:type="dxa"/>
          </w:tcPr>
          <w:p>
            <w:pPr>
              <w:jc w:val="center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구분</w:t>
            </w:r>
          </w:p>
        </w:tc>
        <w:tc>
          <w:tcPr>
            <w:tcW w:w="1430" w:type="dxa"/>
          </w:tcPr>
          <w:p>
            <w:pPr>
              <w:jc w:val="center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조항</w:t>
            </w:r>
          </w:p>
        </w:tc>
        <w:tc>
          <w:tcPr>
            <w:tcW w:w="3745" w:type="dxa"/>
          </w:tcPr>
          <w:p>
            <w:pPr>
              <w:jc w:val="center"/>
              <w:rPr>
                <w:rFonts w:ascii="맑은 고딕" w:eastAsia="맑은 고딕" w:hAnsi="맑은 고딕" w:hint="default"/>
              </w:rPr>
            </w:pPr>
            <w:r>
              <w:rPr>
                <w:rFonts w:ascii="맑은 고딕" w:eastAsia="맑은 고딕" w:hAnsi="맑은 고딕"/>
              </w:rPr>
              <w:t>당초(배포된 개정·제정안)</w:t>
            </w:r>
          </w:p>
        </w:tc>
        <w:tc>
          <w:tcPr>
            <w:tcW w:w="3708" w:type="dxa"/>
          </w:tcPr>
          <w:p>
            <w:pPr>
              <w:jc w:val="center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제안 내용</w:t>
            </w:r>
          </w:p>
        </w:tc>
        <w:tc>
          <w:tcPr>
            <w:tcW w:w="2030" w:type="dxa"/>
          </w:tcPr>
          <w:p>
            <w:pPr>
              <w:jc w:val="center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반영여부</w:t>
            </w:r>
          </w:p>
        </w:tc>
        <w:tc>
          <w:tcPr>
            <w:tcW w:w="1430" w:type="dxa"/>
          </w:tcPr>
          <w:p>
            <w:pPr>
              <w:jc w:val="center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default"/>
                <w:rtl w:val="off"/>
              </w:rPr>
              <w:t>사유</w:t>
            </w:r>
          </w:p>
        </w:tc>
      </w:tr>
      <w:tr>
        <w:trPr/>
        <w:tc>
          <w:tcPr>
            <w:tcW w:w="950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고성군 지부장 정연주</w:t>
            </w:r>
          </w:p>
        </w:tc>
        <w:tc>
          <w:tcPr>
            <w:tcW w:w="662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  <w:t>규칙</w:t>
            </w:r>
          </w:p>
        </w:tc>
        <w:tc>
          <w:tcPr>
            <w:tcW w:w="1430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3745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3708" w:type="dxa"/>
          </w:tcPr>
          <w:p>
            <w:pPr>
              <w:pStyle w:val="a0"/>
              <w:widowControl w:val="off"/>
              <w:spacing w:after="0" w:before="0" w:line="360" w:lineRule="auto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sz w:val="20"/>
                <w:szCs w:val="20"/>
                <w:spacing w:val="-4"/>
                <w:rtl w:val="off"/>
              </w:rPr>
              <w:t>규칙 제정을 반대 하며 새롭게 제정한 규칙들 현행 규정에 맞춰서 현 규정을 수정 할 것을 제안합니다.</w:t>
            </w:r>
          </w:p>
        </w:tc>
        <w:tc>
          <w:tcPr>
            <w:tcW w:w="2030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미반영</w:t>
            </w:r>
          </w:p>
        </w:tc>
        <w:tc>
          <w:tcPr>
            <w:tcW w:w="1430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-법적근거의 모호성 및 안정성 약함</w:t>
            </w:r>
          </w:p>
        </w:tc>
      </w:tr>
      <w:tr>
        <w:trPr/>
        <w:tc>
          <w:tcPr>
            <w:tcW w:w="950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sz w:val="20"/>
                <w:szCs w:val="20"/>
                <w:rtl w:val="off"/>
              </w:rPr>
              <w:t>도봉구</w:t>
            </w:r>
            <w:r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  <w:t xml:space="preserve"> 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지부장 오옥용</w:t>
            </w:r>
          </w:p>
        </w:tc>
        <w:tc>
          <w:tcPr>
            <w:tcW w:w="662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1430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  <w:t>제7조, 제8조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(129쪽)</w:t>
            </w:r>
          </w:p>
        </w:tc>
        <w:tc>
          <w:tcPr>
            <w:tcW w:w="3745" w:type="dxa"/>
          </w:tcPr>
          <w:p>
            <w:pPr>
              <w:pStyle w:val="a0"/>
              <w:widowControl w:val="off"/>
              <w:spacing w:after="0" w:before="0" w:line="360" w:lineRule="auto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 </w:t>
            </w:r>
            <w:bookmarkStart w:id="1" w:name="_top"/>
            <w:bookmarkEnd w:id="1"/>
            <w:r>
              <w:rPr>
                <w:rFonts w:ascii="맑은 고딕" w:eastAsia="맑은 고딕" w:hAnsi="맑은 고딕"/>
                <w:b/>
                <w:sz w:val="20"/>
                <w:szCs w:val="20"/>
                <w:spacing w:val="-4"/>
              </w:rPr>
              <w:t>제7조(포상의 대상)</w:t>
            </w: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 xml:space="preserve"> 다음에 해당하는 회원, 단체와 공무원 등 관련자에게 '포상규정'에 따라 이사회의 의결을 거쳐 포상할 수 있다. </w:t>
            </w:r>
          </w:p>
          <w:p>
            <w:pPr>
              <w:pStyle w:val="a0"/>
              <w:widowControl w:val="off"/>
              <w:spacing w:after="0" w:before="0" w:line="360" w:lineRule="auto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1.</w:t>
            </w:r>
            <w:r>
              <w:rPr>
                <w:rFonts w:ascii="맑은 고딕" w:eastAsia="맑은 고딕" w:hAnsi="맑은 고딕"/>
                <w:sz w:val="20"/>
                <w:szCs w:val="20"/>
                <w:spacing w:val="-7"/>
              </w:rPr>
              <w:t xml:space="preserve"> 양봉산업 분야에 관련된 학술 또는 기술 발전에 공로가 있는 자. </w:t>
            </w:r>
          </w:p>
          <w:p>
            <w:pPr>
              <w:pStyle w:val="a0"/>
              <w:widowControl w:val="off"/>
              <w:spacing w:after="0" w:before="0" w:line="360" w:lineRule="auto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2. 본회 발전에 공로가 있는 자. </w:t>
            </w:r>
          </w:p>
          <w:p>
            <w:pPr>
              <w:pStyle w:val="a0"/>
              <w:widowControl w:val="off"/>
              <w:spacing w:after="0" w:before="0" w:line="360" w:lineRule="auto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b/>
                <w:sz w:val="20"/>
                <w:szCs w:val="20"/>
                <w:spacing w:val="-4"/>
              </w:rPr>
              <w:t xml:space="preserve">제8조(포상의 종류) </w:t>
            </w: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본회의 포상의 종류는 다음과 같다. </w:t>
            </w:r>
          </w:p>
          <w:p>
            <w:pPr>
              <w:pStyle w:val="a0"/>
              <w:widowControl w:val="off"/>
              <w:spacing w:after="0" w:before="0" w:line="360" w:lineRule="auto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1.</w:t>
            </w:r>
            <w:r>
              <w:rPr>
                <w:rFonts w:ascii="맑은 고딕" w:eastAsia="맑은 고딕" w:hAnsi="맑은 고딕"/>
                <w:sz w:val="20"/>
                <w:szCs w:val="20"/>
                <w:spacing w:val="-8"/>
              </w:rPr>
              <w:t xml:space="preserve"> 본회 추천에 의한 공공기관 포상</w:t>
            </w:r>
          </w:p>
          <w:p>
            <w:pPr>
              <w:pStyle w:val="a0"/>
              <w:widowControl w:val="off"/>
              <w:spacing w:after="0" w:before="0" w:line="360" w:lineRule="auto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2. 표창 </w:t>
            </w:r>
          </w:p>
          <w:p>
            <w:pPr>
              <w:pStyle w:val="a0"/>
              <w:widowControl w:val="off"/>
              <w:spacing w:after="0" w:before="0" w:line="360" w:lineRule="auto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3. 감사패 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4. 공로패 </w:t>
            </w:r>
          </w:p>
        </w:tc>
        <w:tc>
          <w:tcPr>
            <w:tcW w:w="3708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 w:hint="default"/>
                <w:szCs w:val="20"/>
              </w:rPr>
              <w:t>1) 장관급 이상 표창 등 제한한다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 xml:space="preserve">- </w:t>
            </w:r>
            <w:r>
              <w:rPr>
                <w:rFonts w:ascii="맑은 고딕" w:eastAsia="맑은 고딕" w:hAnsi="맑은 고딕" w:hint="default"/>
                <w:szCs w:val="20"/>
              </w:rPr>
              <w:t>협회가입 2년 이하회원 및 회비 미납자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2030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-규칙에 반영되있음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-'포상규정' 및 '징계 규정'은 별도 제정함</w:t>
            </w:r>
          </w:p>
        </w:tc>
        <w:tc>
          <w:tcPr>
            <w:tcW w:w="1430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</w:tr>
      <w:tr>
        <w:trPr/>
        <w:tc>
          <w:tcPr>
            <w:tcW w:w="950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sz w:val="20"/>
                <w:szCs w:val="20"/>
                <w:rtl w:val="off"/>
              </w:rPr>
              <w:t>도봉구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지부장 오옥용</w:t>
            </w:r>
          </w:p>
        </w:tc>
        <w:tc>
          <w:tcPr>
            <w:tcW w:w="662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1430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제9조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(130쪽)</w:t>
            </w:r>
          </w:p>
        </w:tc>
        <w:tc>
          <w:tcPr>
            <w:tcW w:w="3745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③</w:t>
            </w: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 xml:space="preserve"> 회원의 행위로 본회 또는 제3자에게 명백한 손해가 발생한 경우에는 징계와는 별도로 '손해배상 규정'에 따라 변상 또는 손해배상을 요구할 수 있으며, 그 금액의 산정 및 집행은 이사회의 의결을 거쳐 진행한다. 단, 징계 절차와는 별도로 처리한다. </w:t>
            </w:r>
          </w:p>
        </w:tc>
        <w:tc>
          <w:tcPr>
            <w:tcW w:w="3708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 w:hint="default"/>
                <w:szCs w:val="20"/>
              </w:rPr>
              <w:t>2) 처벌 (징계) 할수있다.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 w:hint="default"/>
                <w:szCs w:val="20"/>
              </w:rPr>
              <w:t>지회 협회 임원및 회원이 공급</w:t>
            </w: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횡령</w:t>
            </w:r>
            <w:r>
              <w:rPr>
                <w:rFonts w:ascii="맑은 고딕" w:eastAsia="맑은 고딕" w:hAnsi="맑은 고딕" w:hint="default"/>
                <w:szCs w:val="20"/>
              </w:rPr>
              <w:t xml:space="preserve"> 및 유용시 단호하게 재명(</w:t>
            </w: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징계</w:t>
            </w:r>
            <w:r>
              <w:rPr>
                <w:rFonts w:ascii="맑은 고딕" w:eastAsia="맑은 고딕" w:hAnsi="맑은 고딕" w:hint="default"/>
                <w:szCs w:val="20"/>
              </w:rPr>
              <w:t>)한다. (법적)피해보상한다.</w:t>
            </w:r>
          </w:p>
        </w:tc>
        <w:tc>
          <w:tcPr>
            <w:tcW w:w="2030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기반영</w:t>
            </w:r>
          </w:p>
        </w:tc>
        <w:tc>
          <w:tcPr>
            <w:tcW w:w="1430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</w:tr>
      <w:tr>
        <w:tc>
          <w:tcPr>
            <w:tcW w:w="950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정선군</w:t>
            </w: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지부장</w:t>
            </w:r>
          </w:p>
        </w:tc>
        <w:tc>
          <w:tcPr>
            <w:tcW w:w="662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1430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  <w:t>제14조</w:t>
            </w:r>
          </w:p>
        </w:tc>
        <w:tc>
          <w:tcPr>
            <w:tcW w:w="3745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/>
                <w:sz w:val="20"/>
                <w:szCs w:val="20"/>
                <w:spacing w:val="-4"/>
              </w:rPr>
              <w:t>④</w:t>
            </w:r>
            <w:r>
              <w:rPr>
                <w:rFonts w:ascii="맑은 고딕" w:eastAsia="맑은 고딕"/>
                <w:sz w:val="20"/>
                <w:szCs w:val="20"/>
                <w:spacing w:val="-4"/>
              </w:rPr>
              <w:t xml:space="preserve"> 지회 또는 지부에 제1항 또는 제2항의 자격 요건을 충족하는 자가 없는 경우, 예외적으로 임원 선출이 가능하며, 절차 및 승인·추인 등 상세 규정은</w:t>
            </w:r>
            <w:r>
              <w:rPr>
                <w:rFonts w:ascii="맑은 고딕" w:eastAsia="맑은 고딕"/>
                <w:color w:val="FF0000"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맑은 고딕" w:eastAsia="맑은 고딕"/>
                <w:color w:val="000000"/>
                <w:sz w:val="20"/>
                <w:szCs w:val="20"/>
                <w:u w:val="single" w:color="auto"/>
                <w:spacing w:val="-4"/>
              </w:rPr>
              <w:t>‘선거관리규정’</w:t>
            </w:r>
            <w:r>
              <w:rPr>
                <w:rFonts w:ascii="맑은 고딕" w:eastAsia="맑은 고딕"/>
                <w:sz w:val="20"/>
                <w:szCs w:val="20"/>
                <w:spacing w:val="-4"/>
              </w:rPr>
              <w:t>에 따른다. </w:t>
            </w:r>
          </w:p>
        </w:tc>
        <w:tc>
          <w:tcPr>
            <w:tcW w:w="3708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해당자가 없을 경우 대처 방안</w:t>
            </w:r>
          </w:p>
        </w:tc>
        <w:tc>
          <w:tcPr>
            <w:tcW w:w="2030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기반영</w:t>
            </w:r>
          </w:p>
        </w:tc>
        <w:tc>
          <w:tcPr>
            <w:tcW w:w="1430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</w:tr>
      <w:tr>
        <w:trPr/>
        <w:tc>
          <w:tcPr>
            <w:tcW w:w="950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고성군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지부장 정연주</w:t>
            </w:r>
          </w:p>
        </w:tc>
        <w:tc>
          <w:tcPr>
            <w:tcW w:w="662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1430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제18조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(141쪽)</w:t>
            </w:r>
          </w:p>
        </w:tc>
        <w:tc>
          <w:tcPr>
            <w:tcW w:w="3745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④</w:t>
            </w: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 xml:space="preserve"> 각 지회 및 지부의 임원은 해당 지회·지부 총회에서 선출한다. </w:t>
            </w:r>
          </w:p>
        </w:tc>
        <w:tc>
          <w:tcPr>
            <w:tcW w:w="3708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 w:hint="default"/>
                <w:szCs w:val="20"/>
              </w:rPr>
              <w:t>④ 1. 각 지회 및 지부의 임원은 해당지회 총회에서</w:t>
            </w: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 xml:space="preserve"> </w:t>
            </w:r>
            <w:r>
              <w:rPr>
                <w:rFonts w:ascii="맑은 고딕" w:eastAsia="맑은 고딕" w:hAnsi="맑은 고딕" w:hint="default"/>
                <w:szCs w:val="20"/>
              </w:rPr>
              <w:t>선출 한다.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 w:hint="default"/>
                <w:szCs w:val="20"/>
              </w:rPr>
              <w:t>2. 지회장을 선출하는 총회는 해당 시,도농업기술원 소재지에서 개최 하여야 한다.</w:t>
            </w:r>
          </w:p>
        </w:tc>
        <w:tc>
          <w:tcPr>
            <w:tcW w:w="2030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미반영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-'선거관리규정'에서 검토하겠음</w:t>
            </w:r>
          </w:p>
        </w:tc>
        <w:tc>
          <w:tcPr>
            <w:tcW w:w="1430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-형평성의 원칙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-장소 특정 필요</w:t>
            </w:r>
          </w:p>
        </w:tc>
      </w:tr>
      <w:tr>
        <w:trPr/>
        <w:tc>
          <w:tcPr>
            <w:tcW w:w="950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sz w:val="20"/>
                <w:szCs w:val="20"/>
                <w:rtl w:val="off"/>
              </w:rPr>
              <w:t>도봉구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지부장 오옥용</w:t>
            </w:r>
          </w:p>
        </w:tc>
        <w:tc>
          <w:tcPr>
            <w:tcW w:w="662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1430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제31조</w:t>
            </w:r>
          </w:p>
        </w:tc>
        <w:tc>
          <w:tcPr>
            <w:tcW w:w="3745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3708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 w:hint="default"/>
                <w:szCs w:val="20"/>
              </w:rPr>
              <w:t>3) 지회 해산 결정권은 상급단체 (중앙)인 협회(이사회)에서 결정한다. 본조항</w:t>
            </w: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 xml:space="preserve"> </w:t>
            </w:r>
            <w:r>
              <w:rPr>
                <w:rFonts w:ascii="맑은 고딕" w:eastAsia="맑은 고딕" w:hAnsi="맑은 고딕" w:hint="default"/>
                <w:szCs w:val="20"/>
              </w:rPr>
              <w:t>위반시 해당자은 영구재명한다.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 w:hint="default"/>
                <w:szCs w:val="20"/>
              </w:rPr>
              <w:t>-상급단체승인없이 해산 결정자는 협회(조직)을 분산(파괴)하였으로 법적 구속력)으로 모든 책임을 지고 피해보상을 하여야 한다.</w:t>
            </w:r>
          </w:p>
        </w:tc>
        <w:tc>
          <w:tcPr>
            <w:tcW w:w="2030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'지회지부 설치 및 운영 규정'에 개정하여 반영하며 규칙에도 반영됨</w:t>
            </w:r>
          </w:p>
        </w:tc>
        <w:tc>
          <w:tcPr>
            <w:tcW w:w="1430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</w:tr>
      <w:tr>
        <w:trPr>
          <w:trHeight w:val="3123" w:hRule="atLeast"/>
        </w:trPr>
        <w:tc>
          <w:tcPr>
            <w:tcW w:w="950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고성군 지부장 정연주</w:t>
            </w:r>
          </w:p>
        </w:tc>
        <w:tc>
          <w:tcPr>
            <w:tcW w:w="662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1430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제31조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(149쪽)</w:t>
            </w:r>
          </w:p>
        </w:tc>
        <w:tc>
          <w:tcPr>
            <w:tcW w:w="3745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>③</w:t>
            </w:r>
            <w:r>
              <w:rPr>
                <w:rFonts w:ascii="맑은 고딕" w:eastAsia="맑은 고딕" w:hAnsi="맑은 고딕"/>
                <w:sz w:val="20"/>
                <w:szCs w:val="20"/>
                <w:spacing w:val="-4"/>
              </w:rPr>
              <w:t xml:space="preserve"> 위원은 해당 단체의 이사회 또는 운영위원회에서 선거권자 중에서 공공성과 전문성을 갖춘 자를 추천하여 각급 단체의 장이 위촉하며, 위원장(부위원장)은 위원 중에서 호선한다. </w:t>
            </w:r>
          </w:p>
        </w:tc>
        <w:tc>
          <w:tcPr>
            <w:tcW w:w="3708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 w:hint="default"/>
                <w:szCs w:val="20"/>
              </w:rPr>
              <w:t xml:space="preserve">③ 위원은 해당 단체의 이사회 또는 운영위원회에서 선거권자 중에서 공공성과 전문성을 갖춘 자를 추천하고 각 단체의 장이 위촉하며 위원장(부위원장)은 위원중에서 호선 한다. </w:t>
            </w:r>
            <w:r>
              <w:rPr>
                <w:rFonts w:ascii="맑은 고딕" w:eastAsia="맑은 고딕" w:hAnsi="맑은 고딕" w:hint="default"/>
                <w:szCs w:val="20"/>
                <w:u w:val="single" w:color="auto"/>
              </w:rPr>
              <w:t>단, 운영위원은 위원이 될 수 없다.</w:t>
            </w:r>
          </w:p>
        </w:tc>
        <w:tc>
          <w:tcPr>
            <w:tcW w:w="2030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미반영</w:t>
            </w:r>
          </w:p>
        </w:tc>
        <w:tc>
          <w:tcPr>
            <w:tcW w:w="1430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-'선거관리규정'에 상세히 규정함</w:t>
            </w:r>
          </w:p>
        </w:tc>
      </w:tr>
      <w:tr>
        <w:trPr/>
        <w:tc>
          <w:tcPr>
            <w:tcW w:w="950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  <w:r>
              <w:rPr>
                <w:lang w:eastAsia="ko-KR"/>
                <w:rFonts w:ascii="맑은 고딕" w:eastAsia="맑은 고딕" w:hAnsi="맑은 고딕" w:hint="eastAsia"/>
                <w:rtl w:val="off"/>
              </w:rPr>
              <w:t>고성군 지부장 정연주</w:t>
            </w:r>
          </w:p>
        </w:tc>
        <w:tc>
          <w:tcPr>
            <w:tcW w:w="662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1430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제8장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(150쪽)</w:t>
            </w:r>
          </w:p>
        </w:tc>
        <w:tc>
          <w:tcPr>
            <w:tcW w:w="3745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제8장 징계위원회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3708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제8장 상벌위원회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2030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  <w:t>기반영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  <w:t>-제45조</w:t>
            </w:r>
          </w:p>
        </w:tc>
        <w:tc>
          <w:tcPr>
            <w:tcW w:w="1430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  <w:t>포상위원회설치 필요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</w:tr>
      <w:tr>
        <w:tc>
          <w:tcPr>
            <w:tcW w:w="950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</w:p>
          <w:p>
            <w:pPr>
              <w:spacing w:after="0" w:before="0" w:line="360"/>
              <w:rPr>
                <w:rFonts w:ascii="맑은 고딕" w:eastAsia="맑은 고딕" w:hAnsi="맑은 고딕" w:hint="default"/>
              </w:rPr>
            </w:pPr>
          </w:p>
        </w:tc>
        <w:tc>
          <w:tcPr>
            <w:tcW w:w="662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1430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  <w:t>보칙 제60조(회의록의 열람 및 공개)</w:t>
            </w: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</w:tc>
        <w:tc>
          <w:tcPr>
            <w:tcW w:w="3745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rFonts w:ascii="맑은 고딕" w:eastAsia="맑은 고딕" w:hAnsi="맑은 고딕" w:hint="default"/>
              </w:rPr>
              <w:t>① 총회 및 이사회 회의록은 협회 사무국에 비치한다.</w:t>
            </w:r>
            <w:r>
              <w:rPr>
                <w:rFonts w:ascii="맑은 고딕" w:eastAsia="맑은 고딕" w:hAnsi="맑은 고딕" w:hint="default"/>
              </w:rPr>
              <w:br/>
            </w:r>
            <w:r>
              <w:rPr>
                <w:rFonts w:ascii="맑은 고딕" w:eastAsia="맑은 고딕" w:hAnsi="맑은 고딕" w:hint="default"/>
              </w:rPr>
              <w:t>② 회원은 지회장을 통하여 회의록의 열람을 신청할 수 있으며, 협회는 정당한 사유가 없는 한 이를 허용한다.</w:t>
            </w:r>
            <w:r>
              <w:rPr>
                <w:rFonts w:ascii="맑은 고딕" w:eastAsia="맑은 고딕" w:hAnsi="맑은 고딕" w:hint="default"/>
              </w:rPr>
              <w:br/>
            </w:r>
            <w:r>
              <w:rPr>
                <w:rFonts w:ascii="맑은 고딕" w:eastAsia="맑은 고딕" w:hAnsi="맑은 고딕" w:hint="default"/>
              </w:rPr>
              <w:t>③ 회의록 공개는 원칙적으로 열람에 한하며, 복사 또는 복제는 협회장의 승인을 받아 제한적으로 허용할 수 있다.</w:t>
            </w: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rtl w:val="off"/>
              </w:rPr>
            </w:pPr>
            <w:r>
              <w:rPr>
                <w:rFonts w:ascii="맑은 고딕" w:eastAsia="맑은 고딕" w:hAnsi="맑은 고딕" w:hint="default"/>
              </w:rPr>
              <w:t>④ 다음 각 호의 사항은 공개하지 아니하거나 필요한 범위에서 마스킹하여 공개할 수 있다.</w:t>
            </w:r>
            <w:r>
              <w:rPr>
                <w:rFonts w:ascii="맑은 고딕" w:eastAsia="맑은 고딕" w:hAnsi="맑은 고딕" w:hint="default"/>
              </w:rPr>
              <w:br/>
            </w:r>
            <w:r>
              <w:rPr>
                <w:rFonts w:ascii="맑은 고딕" w:eastAsia="맑은 고딕" w:hAnsi="맑은 고딕" w:hint="default"/>
              </w:rPr>
              <w:t>1. 개인정보 및 사생활 관련 사항</w:t>
            </w:r>
            <w:r>
              <w:rPr>
                <w:rFonts w:ascii="맑은 고딕" w:eastAsia="맑은 고딕" w:hAnsi="맑은 고딕" w:hint="default"/>
              </w:rPr>
              <w:br/>
            </w:r>
            <w:r>
              <w:rPr>
                <w:rFonts w:ascii="맑은 고딕" w:eastAsia="맑은 고딕" w:hAnsi="맑은 고딕" w:hint="default"/>
              </w:rPr>
              <w:t>2. 징계·분쟁·인사에 관한 사항</w:t>
            </w:r>
            <w:r>
              <w:rPr>
                <w:rFonts w:ascii="맑은 고딕" w:eastAsia="맑은 고딕" w:hAnsi="맑은 고딕" w:hint="default"/>
              </w:rPr>
              <w:br/>
            </w:r>
            <w:r>
              <w:rPr>
                <w:rFonts w:ascii="맑은 고딕" w:eastAsia="맑은 고딕" w:hAnsi="맑은 고딕" w:hint="default"/>
              </w:rPr>
              <w:t>3. 협회의 계약, 협상 및 내부 전략에 관한 사항</w:t>
            </w:r>
            <w:r>
              <w:rPr>
                <w:rFonts w:ascii="맑은 고딕" w:eastAsia="맑은 고딕" w:hAnsi="맑은 고딕" w:hint="default"/>
              </w:rPr>
              <w:br/>
            </w:r>
            <w:r>
              <w:rPr>
                <w:rFonts w:ascii="맑은 고딕" w:eastAsia="맑은 고딕" w:hAnsi="맑은 고딕" w:hint="default"/>
              </w:rPr>
              <w:t>4. 기타 협회 운영상 비공개가 필요하다고 인정되는 사항</w:t>
            </w:r>
            <w:r>
              <w:rPr>
                <w:rFonts w:ascii="맑은 고딕" w:eastAsia="맑은 고딕" w:hAnsi="맑은 고딕" w:hint="default"/>
              </w:rPr>
              <w:br/>
            </w:r>
            <w:r>
              <w:rPr>
                <w:rFonts w:ascii="맑은 고딕" w:eastAsia="맑은 고딕" w:hAnsi="맑은 고딕" w:hint="default"/>
              </w:rPr>
              <w:t>⑤ 반복적이거나 과도한 공개 요청으로 협회 업무 수행에 중대한 지장이 예상되는 경우에는 공개를 제한할 수 있다.</w:t>
            </w:r>
            <w:r>
              <w:rPr>
                <w:rFonts w:ascii="맑은 고딕" w:eastAsia="맑은 고딕" w:hAnsi="맑은 고딕" w:hint="default"/>
              </w:rPr>
              <w:br/>
            </w:r>
            <w:r>
              <w:rPr>
                <w:rFonts w:ascii="맑은 고딕" w:eastAsia="맑은 고딕" w:hAnsi="맑은 고딕" w:hint="default"/>
              </w:rPr>
              <w:t>⑥ 공개 절차 및 세부 사항은 별도의 운영지침으로 정한다.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3708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2030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신설 반영</w:t>
            </w:r>
          </w:p>
        </w:tc>
        <w:tc>
          <w:tcPr>
            <w:tcW w:w="1430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  <w:t>-정관 제23조와 제28에 따라 신설함.</w:t>
            </w: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  <w:t>-제60조 이후는 순연 번호.</w:t>
            </w: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</w:tr>
    </w:tbl>
    <w:p>
      <w:pPr>
        <w:pStyle w:val="a0"/>
        <w:contextualSpacing/>
        <w:spacing w:after="0" w:before="0" w:line="360" w:lineRule="auto"/>
        <w:rPr>
          <w:lang w:eastAsia="ko-KR"/>
          <w:rFonts w:hint="eastAsia"/>
          <w:rtl w:val="off"/>
        </w:rPr>
      </w:pPr>
    </w:p>
    <w:p>
      <w:pPr>
        <w:pStyle w:val="a0"/>
        <w:contextualSpacing/>
        <w:spacing w:after="0" w:before="0" w:line="360" w:lineRule="auto"/>
        <w:rPr>
          <w:lang w:eastAsia="ko-KR"/>
          <w:rFonts w:hint="eastAsia"/>
          <w:rtl w:val="off"/>
        </w:rPr>
      </w:pPr>
    </w:p>
    <w:p>
      <w:pPr>
        <w:rPr>
          <w:lang w:eastAsia="ko-KR"/>
          <w:rFonts w:ascii="맑은 고딕" w:eastAsia="맑은 고딕" w:hAnsi="맑은 고딕"/>
          <w:sz w:val="24"/>
          <w:szCs w:val="24"/>
          <w:u w:val="single" w:color="auto"/>
          <w:rtl w:val="off"/>
        </w:rPr>
      </w:pPr>
      <w:r>
        <w:rPr>
          <w:lang w:eastAsia="ko-KR"/>
          <w:rFonts w:ascii="맑은 고딕" w:eastAsia="맑은 고딕" w:hAnsi="맑은 고딕" w:hint="default"/>
          <w:sz w:val="24"/>
          <w:szCs w:val="24"/>
          <w:u w:val="none" w:color="auto"/>
          <w:rtl w:val="off"/>
        </w:rPr>
        <w:t>* 부대의결 사항</w:t>
      </w:r>
    </w:p>
    <w:p>
      <w:pPr>
        <w:rPr>
          <w:lang w:eastAsia="ko-KR"/>
          <w:rFonts w:ascii="맑은 고딕" w:eastAsia="맑은 고딕" w:hAnsi="맑은 고딕" w:hint="eastAsia"/>
          <w:sz w:val="24"/>
          <w:szCs w:val="24"/>
          <w:rtl w:val="off"/>
        </w:rPr>
      </w:pPr>
      <w:r>
        <w:rPr>
          <w:rFonts w:ascii="맑은 고딕" w:eastAsia="맑은 고딕" w:hAnsi="맑은 고딕" w:hint="default"/>
          <w:sz w:val="24"/>
          <w:szCs w:val="24"/>
          <w:u w:val="single" w:color="auto"/>
        </w:rPr>
        <w:t>다만, 총회에서 의결된 개정 정관을 주무관청의 허가를 받는 과정에서 발생하는 자구 수정은 정관개정위원회에 일임하기로 한다.</w:t>
      </w:r>
    </w:p>
    <w:p>
      <w:pPr>
        <w:rPr>
          <w:rFonts w:ascii="맑은 고딕" w:eastAsia="맑은 고딕" w:hAnsi="맑은 고딕" w:hint="default"/>
          <w:sz w:val="24"/>
          <w:szCs w:val="24"/>
        </w:rPr>
      </w:pPr>
    </w:p>
    <w:p>
      <w:pPr>
        <w:pStyle w:val="a0"/>
        <w:contextualSpacing/>
        <w:spacing w:after="0" w:before="0" w:line="360" w:lineRule="auto"/>
        <w:rPr>
          <w:sz w:val="24"/>
          <w:szCs w:val="24"/>
        </w:rPr>
      </w:pPr>
    </w:p>
    <w:sectPr>
      <w:pgSz w:w="16838" w:h="11906" w:orient="landscape"/>
      <w:pgMar w:top="1701" w:right="1440" w:bottom="1440" w:left="1440" w:header="851" w:footer="992" w:gutter="0"/>
      <w:cols/>
      <w:docGrid w:linePitch="360"/>
      <w:headerReference w:type="default" r:id="rId1"/>
      <w:footerReference w:type="default" r:id="rId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charset w:val="00"/>
    <w:notTrueType w:val="false"/>
    <w:sig w:usb0="9000002F" w:usb1="29D77CFB" w:usb2="00000012" w:usb3="00000001" w:csb0="00080001" w:csb1="00000001"/>
  </w:font>
  <w:font w:name="함초롬바탕">
    <w:panose1 w:val="02030604000101010101"/>
    <w:charset w:val="00"/>
    <w:notTrueType w:val="false"/>
    <w:sig w:usb0="F70006FF" w:usb1="19DFFFFF" w:usb2="001BFDD7" w:usb3="00000001" w:csb0="001F01FF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p>
        <w:pPr>
          <w:pStyle w:val="b2"/>
          <w:jc w:val="center"/>
        </w:pPr>
        <w:r/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  <w:p>
        <w:r/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1"/>
    </w:pPr>
    <w:r>
      <w:rPr>
        <w:lang w:eastAsia="ko-KR"/>
        <w:rtl w:val="off"/>
      </w:rPr>
      <w:t>규칙 개정안 수정 제안서</w:t>
    </w:r>
  </w:p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0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911" w:unhideWhenUsed="1"/>
    <w:lsdException w:name="toc 2" w:semiHidden="1" w:uiPriority="1911" w:unhideWhenUsed="1"/>
    <w:lsdException w:name="toc 3" w:semiHidden="1" w:uiPriority="1911" w:unhideWhenUsed="1"/>
    <w:lsdException w:name="toc 4" w:semiHidden="1" w:uiPriority="1911" w:unhideWhenUsed="1"/>
    <w:lsdException w:name="toc 5" w:semiHidden="1" w:uiPriority="1911" w:unhideWhenUsed="1"/>
    <w:lsdException w:name="toc 6" w:semiHidden="1" w:uiPriority="1911" w:unhideWhenUsed="1"/>
    <w:lsdException w:name="toc 7" w:semiHidden="1" w:uiPriority="1911" w:unhideWhenUsed="1"/>
    <w:lsdException w:name="toc 8" w:semiHidden="1" w:uiPriority="1911" w:unhideWhenUsed="1"/>
    <w:lsdException w:name="toc 9" w:semiHidden="1" w:uiPriority="191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907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3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3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772" w:qFormat="1"/>
    <w:lsdException w:name="Emphasis" w:uiPriority="66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91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8322"/>
    <w:lsdException w:name="Light List" w:uiPriority="8323"/>
    <w:lsdException w:name="Light Grid" w:uiPriority="8324"/>
    <w:lsdException w:name="Medium Shading 1" w:uiPriority="8325"/>
    <w:lsdException w:name="Medium Shading 2" w:uiPriority="20848"/>
    <w:lsdException w:name="Medium List 1" w:uiPriority="20849"/>
    <w:lsdException w:name="Medium List 2" w:uiPriority="21552"/>
    <w:lsdException w:name="Medium Grid 1" w:uiPriority="21553"/>
    <w:lsdException w:name="Medium Grid 2" w:uiPriority="21572"/>
    <w:lsdException w:name="Medium Grid 3" w:uiPriority="21573"/>
    <w:lsdException w:name="Dark List" w:uiPriority="21652"/>
    <w:lsdException w:name="Colorful Shading" w:uiPriority="21653"/>
    <w:lsdException w:name="Colorful List" w:uiPriority="21768"/>
    <w:lsdException w:name="Colorful Grid" w:uiPriority="21769"/>
    <w:lsdException w:name="Light Shading Accent 1" w:uiPriority="8322"/>
    <w:lsdException w:name="Light List Accent 1" w:uiPriority="8323"/>
    <w:lsdException w:name="Light Grid Accent 1" w:uiPriority="8324"/>
    <w:lsdException w:name="Medium Shading 1 Accent 1" w:uiPriority="8325"/>
    <w:lsdException w:name="Medium Shading 2 Accent 1" w:uiPriority="20848"/>
    <w:lsdException w:name="Medium List 1 Accent 1" w:uiPriority="20849"/>
    <w:lsdException w:name="Revision" w:semiHidden="1"/>
    <w:lsdException w:name="List Paragraph" w:uiPriority="1906" w:qFormat="1"/>
    <w:lsdException w:name="Quote" w:uiPriority="1433" w:qFormat="1"/>
    <w:lsdException w:name="Intense Quote" w:uiPriority="1584" w:qFormat="1"/>
    <w:lsdException w:name="Medium List 2 Accent 1" w:uiPriority="21552"/>
    <w:lsdException w:name="Medium Grid 1 Accent 1" w:uiPriority="21553"/>
    <w:lsdException w:name="Medium Grid 2 Accent 1" w:uiPriority="21572"/>
    <w:lsdException w:name="Medium Grid 3 Accent 1" w:uiPriority="21573"/>
    <w:lsdException w:name="Dark List Accent 1" w:uiPriority="21652"/>
    <w:lsdException w:name="Colorful Shading Accent 1" w:uiPriority="21653"/>
    <w:lsdException w:name="Colorful List Accent 1" w:uiPriority="21768"/>
    <w:lsdException w:name="Colorful Grid Accent 1" w:uiPriority="21769"/>
    <w:lsdException w:name="Light Shading Accent 2" w:uiPriority="8322"/>
    <w:lsdException w:name="Light List Accent 2" w:uiPriority="8323"/>
    <w:lsdException w:name="Light Grid Accent 2" w:uiPriority="8324"/>
    <w:lsdException w:name="Medium Shading 1 Accent 2" w:uiPriority="8325"/>
    <w:lsdException w:name="Medium Shading 2 Accent 2" w:uiPriority="20848"/>
    <w:lsdException w:name="Medium List 1 Accent 2" w:uiPriority="20849"/>
    <w:lsdException w:name="Medium List 2 Accent 2" w:uiPriority="21552"/>
    <w:lsdException w:name="Medium Grid 1 Accent 2" w:uiPriority="21553"/>
    <w:lsdException w:name="Medium Grid 2 Accent 2" w:uiPriority="21572"/>
    <w:lsdException w:name="Medium Grid 3 Accent 2" w:uiPriority="21573"/>
    <w:lsdException w:name="Dark List Accent 2" w:uiPriority="21652"/>
    <w:lsdException w:name="Colorful Shading Accent 2" w:uiPriority="21653"/>
    <w:lsdException w:name="Colorful List Accent 2" w:uiPriority="21768"/>
    <w:lsdException w:name="Colorful Grid Accent 2" w:uiPriority="21769"/>
    <w:lsdException w:name="Light Shading Accent 3" w:uiPriority="8322"/>
    <w:lsdException w:name="Light List Accent 3" w:uiPriority="8323"/>
    <w:lsdException w:name="Light Grid Accent 3" w:uiPriority="8324"/>
    <w:lsdException w:name="Medium Shading 1 Accent 3" w:uiPriority="8325"/>
    <w:lsdException w:name="Medium Shading 2 Accent 3" w:uiPriority="20848"/>
    <w:lsdException w:name="Medium List 1 Accent 3" w:uiPriority="20849"/>
    <w:lsdException w:name="Medium List 2 Accent 3" w:uiPriority="21552"/>
    <w:lsdException w:name="Medium Grid 1 Accent 3" w:uiPriority="21553"/>
    <w:lsdException w:name="Medium Grid 2 Accent 3" w:uiPriority="21572"/>
    <w:lsdException w:name="Medium Grid 3 Accent 3" w:uiPriority="21573"/>
    <w:lsdException w:name="Dark List Accent 3" w:uiPriority="21652"/>
    <w:lsdException w:name="Colorful Shading Accent 3" w:uiPriority="21653"/>
    <w:lsdException w:name="Colorful List Accent 3" w:uiPriority="21768"/>
    <w:lsdException w:name="Colorful Grid Accent 3" w:uiPriority="21769"/>
    <w:lsdException w:name="Light Shading Accent 4" w:uiPriority="8322"/>
    <w:lsdException w:name="Light List Accent 4" w:uiPriority="8323"/>
    <w:lsdException w:name="Light Grid Accent 4" w:uiPriority="8324"/>
    <w:lsdException w:name="Medium Shading 1 Accent 4" w:uiPriority="8325"/>
    <w:lsdException w:name="Medium Shading 2 Accent 4" w:uiPriority="20848"/>
    <w:lsdException w:name="Medium List 1 Accent 4" w:uiPriority="20849"/>
    <w:lsdException w:name="Medium List 2 Accent 4" w:uiPriority="21552"/>
    <w:lsdException w:name="Medium Grid 1 Accent 4" w:uiPriority="21553"/>
    <w:lsdException w:name="Medium Grid 2 Accent 4" w:uiPriority="21572"/>
    <w:lsdException w:name="Medium Grid 3 Accent 4" w:uiPriority="21573"/>
    <w:lsdException w:name="Dark List Accent 4" w:uiPriority="21652"/>
    <w:lsdException w:name="Colorful Shading Accent 4" w:uiPriority="21653"/>
    <w:lsdException w:name="Colorful List Accent 4" w:uiPriority="21768"/>
    <w:lsdException w:name="Colorful Grid Accent 4" w:uiPriority="21769"/>
    <w:lsdException w:name="Light Shading Accent 5" w:uiPriority="8322"/>
    <w:lsdException w:name="Light List Accent 5" w:uiPriority="8323"/>
    <w:lsdException w:name="Light Grid Accent 5" w:uiPriority="8324"/>
    <w:lsdException w:name="Medium Shading 1 Accent 5" w:uiPriority="8325"/>
    <w:lsdException w:name="Medium Shading 2 Accent 5" w:uiPriority="20848"/>
    <w:lsdException w:name="Medium List 1 Accent 5" w:uiPriority="20849"/>
    <w:lsdException w:name="Medium List 2 Accent 5" w:uiPriority="21552"/>
    <w:lsdException w:name="Medium Grid 1 Accent 5" w:uiPriority="21553"/>
    <w:lsdException w:name="Medium Grid 2 Accent 5" w:uiPriority="21572"/>
    <w:lsdException w:name="Medium Grid 3 Accent 5" w:uiPriority="21573"/>
    <w:lsdException w:name="Dark List Accent 5" w:uiPriority="21652"/>
    <w:lsdException w:name="Colorful Shading Accent 5" w:uiPriority="21653"/>
    <w:lsdException w:name="Colorful List Accent 5" w:uiPriority="21768"/>
    <w:lsdException w:name="Colorful Grid Accent 5" w:uiPriority="21769"/>
    <w:lsdException w:name="Light Shading Accent 6" w:uiPriority="8322"/>
    <w:lsdException w:name="Light List Accent 6" w:uiPriority="8323"/>
    <w:lsdException w:name="Light Grid Accent 6" w:uiPriority="8324"/>
    <w:lsdException w:name="Medium Shading 1 Accent 6" w:uiPriority="8325"/>
    <w:lsdException w:name="Medium Shading 2 Accent 6" w:uiPriority="20848"/>
    <w:lsdException w:name="Medium List 1 Accent 6" w:uiPriority="20849"/>
    <w:lsdException w:name="Medium List 2 Accent 6" w:uiPriority="21552"/>
    <w:lsdException w:name="Medium Grid 1 Accent 6" w:uiPriority="21553"/>
    <w:lsdException w:name="Medium Grid 2 Accent 6" w:uiPriority="21572"/>
    <w:lsdException w:name="Medium Grid 3 Accent 6" w:uiPriority="21573"/>
    <w:lsdException w:name="Dark List Accent 6" w:uiPriority="21652"/>
    <w:lsdException w:name="Colorful Shading Accent 6" w:uiPriority="21653"/>
    <w:lsdException w:name="Colorful List Accent 6" w:uiPriority="21768"/>
    <w:lsdException w:name="Colorful Grid Accent 6" w:uiPriority="21769"/>
    <w:lsdException w:name="Subtle Emphasis" w:uiPriority="307" w:qFormat="1"/>
    <w:lsdException w:name="Intense Emphasis" w:uiPriority="663" w:qFormat="1"/>
    <w:lsdException w:name="Subtle Reference" w:uiPriority="1585" w:qFormat="1"/>
    <w:lsdException w:name="Intense Reference" w:uiPriority="1634" w:qFormat="1"/>
    <w:lsdException w:name="Book Title" w:uiPriority="1635" w:qFormat="1"/>
    <w:lsdException w:name="Bibliography" w:semiHidden="1" w:uiPriority="1909" w:unhideWhenUsed="1"/>
    <w:lsdException w:name="TOC Heading" w:semiHidden="1" w:uiPriority="1911" w:unhideWhenUsed="1" w:qFormat="1"/>
    <w:lsdException w:name="Plain Table 1" w:uiPriority="5171"/>
    <w:lsdException w:name="Plain Table 2" w:uiPriority="5430"/>
    <w:lsdException w:name="Plain Table 3" w:uiPriority="5431"/>
    <w:lsdException w:name="Plain Table 4" w:uiPriority="5444"/>
    <w:lsdException w:name="Plain Table 5" w:uiPriority="5445"/>
    <w:lsdException w:name="Grid Table Light" w:uiPriority="5170"/>
    <w:lsdException w:name="Grid Table 1 Light" w:uiPriority="5494"/>
    <w:lsdException w:name="Grid Table 2" w:uiPriority="5495"/>
    <w:lsdException w:name="Grid Table 3" w:uiPriority="5508"/>
    <w:lsdException w:name="Grid Table 4" w:uiPriority="5509"/>
    <w:lsdException w:name="Grid Table 5 Dark" w:uiPriority="5684"/>
    <w:lsdException w:name="Grid Table 6 Colorful" w:uiPriority="5685"/>
    <w:lsdException w:name="Grid Table 7 Colorful" w:uiPriority="6406"/>
    <w:lsdException w:name="Grid Table 1 Light Accent 1" w:uiPriority="5494"/>
    <w:lsdException w:name="Grid Table 2 Accent 1" w:uiPriority="5495"/>
    <w:lsdException w:name="Grid Table 3 Accent 1" w:uiPriority="5508"/>
    <w:lsdException w:name="Grid Table 4 Accent 1" w:uiPriority="5509"/>
    <w:lsdException w:name="Grid Table 5 Dark Accent 1" w:uiPriority="5684"/>
    <w:lsdException w:name="Grid Table 6 Colorful Accent 1" w:uiPriority="5685"/>
    <w:lsdException w:name="Grid Table 7 Colorful Accent 1" w:uiPriority="6406"/>
    <w:lsdException w:name="Grid Table 1 Light Accent 2" w:uiPriority="5494"/>
    <w:lsdException w:name="Grid Table 2 Accent 2" w:uiPriority="5495"/>
    <w:lsdException w:name="Grid Table 3 Accent 2" w:uiPriority="5508"/>
    <w:lsdException w:name="Grid Table 4 Accent 2" w:uiPriority="5509"/>
    <w:lsdException w:name="Grid Table 5 Dark Accent 2" w:uiPriority="5684"/>
    <w:lsdException w:name="Grid Table 6 Colorful Accent 2" w:uiPriority="5685"/>
    <w:lsdException w:name="Grid Table 7 Colorful Accent 2" w:uiPriority="6406"/>
    <w:lsdException w:name="Grid Table 1 Light Accent 3" w:uiPriority="5494"/>
    <w:lsdException w:name="Grid Table 2 Accent 3" w:uiPriority="5495"/>
    <w:lsdException w:name="Grid Table 3 Accent 3" w:uiPriority="5508"/>
    <w:lsdException w:name="Grid Table 4 Accent 3" w:uiPriority="5509"/>
    <w:lsdException w:name="Grid Table 5 Dark Accent 3" w:uiPriority="5684"/>
    <w:lsdException w:name="Grid Table 6 Colorful Accent 3" w:uiPriority="5685"/>
    <w:lsdException w:name="Grid Table 7 Colorful Accent 3" w:uiPriority="6406"/>
    <w:lsdException w:name="Grid Table 1 Light Accent 4" w:uiPriority="5494"/>
    <w:lsdException w:name="Grid Table 2 Accent 4" w:uiPriority="5495"/>
    <w:lsdException w:name="Grid Table 3 Accent 4" w:uiPriority="5508"/>
    <w:lsdException w:name="Grid Table 4 Accent 4" w:uiPriority="5509"/>
    <w:lsdException w:name="Grid Table 5 Dark Accent 4" w:uiPriority="5684"/>
    <w:lsdException w:name="Grid Table 6 Colorful Accent 4" w:uiPriority="5685"/>
    <w:lsdException w:name="Grid Table 7 Colorful Accent 4" w:uiPriority="6406"/>
    <w:lsdException w:name="Grid Table 1 Light Accent 5" w:uiPriority="5494"/>
    <w:lsdException w:name="Grid Table 2 Accent 5" w:uiPriority="5495"/>
    <w:lsdException w:name="Grid Table 3 Accent 5" w:uiPriority="5508"/>
    <w:lsdException w:name="Grid Table 4 Accent 5" w:uiPriority="5509"/>
    <w:lsdException w:name="Grid Table 5 Dark Accent 5" w:uiPriority="5684"/>
    <w:lsdException w:name="Grid Table 6 Colorful Accent 5" w:uiPriority="5685"/>
    <w:lsdException w:name="Grid Table 7 Colorful Accent 5" w:uiPriority="6406"/>
    <w:lsdException w:name="Grid Table 1 Light Accent 6" w:uiPriority="5494"/>
    <w:lsdException w:name="Grid Table 2 Accent 6" w:uiPriority="5495"/>
    <w:lsdException w:name="Grid Table 3 Accent 6" w:uiPriority="5508"/>
    <w:lsdException w:name="Grid Table 4 Accent 6" w:uiPriority="5509"/>
    <w:lsdException w:name="Grid Table 5 Dark Accent 6" w:uiPriority="5684"/>
    <w:lsdException w:name="Grid Table 6 Colorful Accent 6" w:uiPriority="5685"/>
    <w:lsdException w:name="Grid Table 7 Colorful Accent 6" w:uiPriority="6406"/>
    <w:lsdException w:name="List Table 1 Light" w:uiPriority="5494"/>
    <w:lsdException w:name="List Table 2" w:uiPriority="5495"/>
    <w:lsdException w:name="List Table 3" w:uiPriority="5508"/>
    <w:lsdException w:name="List Table 4" w:uiPriority="5509"/>
    <w:lsdException w:name="List Table 5 Dark" w:uiPriority="5684"/>
    <w:lsdException w:name="List Table 6 Colorful" w:uiPriority="5685"/>
    <w:lsdException w:name="List Table 7 Colorful" w:uiPriority="6406"/>
    <w:lsdException w:name="List Table 1 Light Accent 1" w:uiPriority="5494"/>
    <w:lsdException w:name="List Table 2 Accent 1" w:uiPriority="5495"/>
    <w:lsdException w:name="List Table 3 Accent 1" w:uiPriority="5508"/>
    <w:lsdException w:name="List Table 4 Accent 1" w:uiPriority="5509"/>
    <w:lsdException w:name="List Table 5 Dark Accent 1" w:uiPriority="5684"/>
    <w:lsdException w:name="List Table 6 Colorful Accent 1" w:uiPriority="5685"/>
    <w:lsdException w:name="List Table 7 Colorful Accent 1" w:uiPriority="6406"/>
    <w:lsdException w:name="List Table 1 Light Accent 2" w:uiPriority="5494"/>
    <w:lsdException w:name="List Table 2 Accent 2" w:uiPriority="5495"/>
    <w:lsdException w:name="List Table 3 Accent 2" w:uiPriority="5508"/>
    <w:lsdException w:name="List Table 4 Accent 2" w:uiPriority="5509"/>
    <w:lsdException w:name="List Table 5 Dark Accent 2" w:uiPriority="5684"/>
    <w:lsdException w:name="List Table 6 Colorful Accent 2" w:uiPriority="5685"/>
    <w:lsdException w:name="List Table 7 Colorful Accent 2" w:uiPriority="6406"/>
    <w:lsdException w:name="List Table 1 Light Accent 3" w:uiPriority="5494"/>
    <w:lsdException w:name="List Table 2 Accent 3" w:uiPriority="5495"/>
    <w:lsdException w:name="List Table 3 Accent 3" w:uiPriority="5508"/>
    <w:lsdException w:name="List Table 4 Accent 3" w:uiPriority="5509"/>
    <w:lsdException w:name="List Table 5 Dark Accent 3" w:uiPriority="5684"/>
    <w:lsdException w:name="List Table 6 Colorful Accent 3" w:uiPriority="5685"/>
    <w:lsdException w:name="List Table 7 Colorful Accent 3" w:uiPriority="6406"/>
    <w:lsdException w:name="List Table 1 Light Accent 4" w:uiPriority="5494"/>
    <w:lsdException w:name="List Table 2 Accent 4" w:uiPriority="5495"/>
    <w:lsdException w:name="List Table 3 Accent 4" w:uiPriority="5508"/>
    <w:lsdException w:name="List Table 4 Accent 4" w:uiPriority="5509"/>
    <w:lsdException w:name="List Table 5 Dark Accent 4" w:uiPriority="5684"/>
    <w:lsdException w:name="List Table 6 Colorful Accent 4" w:uiPriority="5685"/>
    <w:lsdException w:name="List Table 7 Colorful Accent 4" w:uiPriority="6406"/>
    <w:lsdException w:name="List Table 1 Light Accent 5" w:uiPriority="5494"/>
    <w:lsdException w:name="List Table 2 Accent 5" w:uiPriority="5495"/>
    <w:lsdException w:name="List Table 3 Accent 5" w:uiPriority="5508"/>
    <w:lsdException w:name="List Table 4 Accent 5" w:uiPriority="5509"/>
    <w:lsdException w:name="List Table 5 Dark Accent 5" w:uiPriority="5684"/>
    <w:lsdException w:name="List Table 6 Colorful Accent 5" w:uiPriority="5685"/>
    <w:lsdException w:name="List Table 7 Colorful Accent 5" w:uiPriority="6406"/>
    <w:lsdException w:name="List Table 1 Light Accent 6" w:uiPriority="5494"/>
    <w:lsdException w:name="List Table 2 Accent 6" w:uiPriority="5495"/>
    <w:lsdException w:name="List Table 3 Accent 6" w:uiPriority="5508"/>
    <w:lsdException w:name="List Table 4 Accent 6" w:uiPriority="5509"/>
    <w:lsdException w:name="List Table 5 Dark Accent 6" w:uiPriority="5684"/>
    <w:lsdException w:name="List Table 6 Colorful Accent 6" w:uiPriority="5685"/>
    <w:lsdException w:name="List Table 7 Colorful Accent 6" w:uiPriority="6406"/>
  </w:latentStyles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uiPriority w:val="39"/>
    <w:basedOn w:val="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default="1" w:styleId="a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1">
    <w:name w:val="header"/>
    <w:uiPriority w:val="99"/>
    <w:basedOn w:val="a2"/>
    <w:unhideWhenUsed/>
    <w:pPr>
      <w:snapToGrid w:val="0"/>
      <w:tabs>
        <w:tab w:val="center" w:pos="4513"/>
        <w:tab w:val="right" w:pos="9026"/>
      </w:tabs>
    </w:pPr>
    <w:rPr>
      <w:rFonts w:cstheme="minorBidi"/>
      <w:sz w:val="20"/>
      <w:szCs w:val="22"/>
    </w:rPr>
  </w:style>
  <w:style w:type="paragraph" w:styleId="b2">
    <w:name w:val="footer"/>
    <w:uiPriority w:val="99"/>
    <w:basedOn w:val="a2"/>
    <w:unhideWhenUsed/>
    <w:pPr>
      <w:snapToGrid w:val="0"/>
      <w:tabs>
        <w:tab w:val="center" w:pos="4513"/>
        <w:tab w:val="right" w:pos="9026"/>
      </w:tabs>
    </w:pPr>
    <w:rPr>
      <w:rFonts w:cstheme="minorBidi"/>
      <w:sz w:val="20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2026-02-22T18:26:04Z</dcterms:created>
  <dcterms:modified xsi:type="dcterms:W3CDTF">2026-03-02T18:03:33Z</dcterms:modified>
  <cp:version>1100.0100.01</cp:version>
</cp:coreProperties>
</file>