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6"/>
        <w:tblLook w:val="04A0" w:firstRow="1" w:lastRow="0" w:firstColumn="1" w:lastColumn="0" w:noHBand="0" w:noVBand="1"/>
        <w:tblLayout w:type="autofit"/>
      </w:tblPr>
      <w:tblGrid>
        <w:gridCol w:w="821"/>
        <w:gridCol w:w="1085"/>
        <w:gridCol w:w="5212"/>
        <w:gridCol w:w="5032"/>
        <w:gridCol w:w="1804"/>
      </w:tblGrid>
      <w:tr>
        <w:tc>
          <w:tcPr>
            <w:tcW w:w="821" w:type="dxa"/>
          </w:tcPr>
          <w:p>
            <w:pPr>
              <w:jc w:val="center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구분</w:t>
            </w:r>
          </w:p>
        </w:tc>
        <w:tc>
          <w:tcPr>
            <w:tcW w:w="1085" w:type="dxa"/>
          </w:tcPr>
          <w:p>
            <w:pPr>
              <w:jc w:val="center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해당조항</w:t>
            </w:r>
          </w:p>
        </w:tc>
        <w:tc>
          <w:tcPr>
            <w:tcW w:w="5212" w:type="dxa"/>
          </w:tcPr>
          <w:p>
            <w:pPr>
              <w:jc w:val="center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당초(배포된 개정·제정안)</w:t>
            </w:r>
          </w:p>
        </w:tc>
        <w:tc>
          <w:tcPr>
            <w:tcW w:w="5032" w:type="dxa"/>
          </w:tcPr>
          <w:p>
            <w:pPr>
              <w:jc w:val="center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수정(정오 내용)</w:t>
            </w:r>
          </w:p>
        </w:tc>
        <w:tc>
          <w:tcPr>
            <w:tcW w:w="1804" w:type="dxa"/>
          </w:tcPr>
          <w:p>
            <w:pPr>
              <w:jc w:val="center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Cs w:val="20"/>
              </w:rPr>
              <w:t>사유</w:t>
            </w:r>
          </w:p>
        </w:tc>
      </w:tr>
      <w:tr>
        <w:tc>
          <w:tcPr>
            <w:tcW w:w="8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rtl w:val="off"/>
              </w:rPr>
              <w:t>정관</w:t>
            </w:r>
          </w:p>
        </w:tc>
        <w:tc>
          <w:tcPr>
            <w:tcW w:w="1085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rtl w:val="off"/>
              </w:rPr>
              <w:t>제15조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(133쪽)</w:t>
            </w:r>
          </w:p>
        </w:tc>
        <w:tc>
          <w:tcPr>
            <w:tcW w:w="521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>⑤ 감사는 연 2회 이상 다음 각 호의 직무를 수행하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>고, 결과를 이사회와 총회에 보고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none" w:color="auto"/>
                <w:rtl w:val="off"/>
              </w:rPr>
              <w:t xml:space="preserve">하거나 보고에 필요한 의견을 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single" w:color="auto"/>
                <w:rtl w:val="off"/>
              </w:rPr>
              <w:t>진술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none" w:color="auto"/>
                <w:rtl w:val="off"/>
              </w:rPr>
              <w:t>할 수 있다.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 xml:space="preserve"> 다만, 의결권은 가지지 아니한다.</w:t>
            </w:r>
          </w:p>
        </w:tc>
        <w:tc>
          <w:tcPr>
            <w:tcW w:w="5032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u w:val="none" w:color="auto"/>
                <w:rtl w:val="off"/>
              </w:rPr>
            </w:pP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>⑤ 감사는 연 2회 이상 다음 각 호의 직무를 수행하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>고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none" w:color="auto"/>
                <w:rtl w:val="off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>결과를 이사회와 총회에 보고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none" w:color="auto"/>
                <w:rtl w:val="off"/>
              </w:rPr>
              <w:t xml:space="preserve">하여야 하며 필요한 의견을 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single" w:color="auto"/>
                <w:rtl w:val="off"/>
              </w:rPr>
              <w:t>개진</w:t>
            </w: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u w:val="none" w:color="auto"/>
                <w:rtl w:val="off"/>
              </w:rPr>
              <w:t>할 수 있다.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 xml:space="preserve"> 다만, 의결권은 가지지 아니한다.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80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00"/>
                <w:szCs w:val="20"/>
                <w:rtl w:val="off"/>
              </w:rPr>
              <w:t>현행정관 취지 확인</w:t>
            </w:r>
          </w:p>
        </w:tc>
      </w:tr>
      <w:tr>
        <w:tc>
          <w:tcPr>
            <w:tcW w:w="8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규칙</w:t>
            </w:r>
          </w:p>
        </w:tc>
        <w:tc>
          <w:tcPr>
            <w:tcW w:w="1085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제14조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(137쪽)</w:t>
            </w:r>
          </w:p>
        </w:tc>
        <w:tc>
          <w:tcPr>
            <w:tcW w:w="5212" w:type="dxa"/>
          </w:tcPr>
          <w:p>
            <w:pPr>
              <w:pStyle w:val="a1"/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>④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 xml:space="preserve"> 지회 또는 지부에 제1항 또는 제2항의 자격 요건을 충족하는 자가 없는 경우, 예외적으로 임원 선출이 가능하며, 절차 및 승인·추인 등 상세 규정은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u w:val="single" w:color="auto"/>
                <w:shd w:val="clear" w:color="000000" w:fill="auto"/>
                <w:spacing w:val="-4"/>
              </w:rPr>
              <w:t>‘임원선출’ 조항</w:t>
            </w:r>
            <w:r>
              <w:rPr>
                <w:rFonts w:ascii="맑은 고딕" w:eastAsia="맑은 고딕" w:hAnsi="맑은 고딕"/>
                <w:sz w:val="20"/>
                <w:szCs w:val="20"/>
                <w:u w:val="single" w:color="auto"/>
                <w:shd w:val="clear" w:color="000000" w:fill="auto"/>
                <w:spacing w:val="-4"/>
              </w:rPr>
              <w:t>에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 xml:space="preserve"> 따른다. </w:t>
            </w:r>
          </w:p>
        </w:tc>
        <w:tc>
          <w:tcPr>
            <w:tcW w:w="5032" w:type="dxa"/>
          </w:tcPr>
          <w:p>
            <w:pPr>
              <w:pStyle w:val="a1"/>
              <w:widowControl w:val="off"/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>④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 xml:space="preserve"> 지회 또는 지부에 제1항 또는 제2항의 자격 요건을 충족하는 자가 없는 경우, 예외적으로 임원 선출이 가능하며, 절차 및 승인·추인 등 상세 규정은</w:t>
            </w:r>
            <w:r>
              <w:rPr>
                <w:rFonts w:ascii="맑은 고딕" w:eastAsia="맑은 고딕" w:hAnsi="맑은 고딕"/>
                <w:color w:val="FF0000"/>
                <w:sz w:val="20"/>
                <w:szCs w:val="20"/>
                <w:shd w:val="clear" w:color="000000" w:fill="auto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u w:val="single" w:color="auto"/>
                <w:shd w:val="clear" w:color="000000" w:fill="auto"/>
                <w:spacing w:val="-4"/>
              </w:rPr>
              <w:t>‘선거관리규정’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u w:val="single" w:color="auto"/>
                <w:shd w:val="clear" w:color="000000" w:fill="auto"/>
                <w:spacing w:val="-4"/>
              </w:rPr>
              <w:t>에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  <w:shd w:val="clear" w:color="000000" w:fill="auto"/>
                <w:spacing w:val="-4"/>
              </w:rPr>
              <w:t xml:space="preserve"> 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>따른</w:t>
            </w:r>
            <w:r>
              <w:rPr>
                <w:rFonts w:ascii="맑은 고딕" w:eastAsia="맑은 고딕" w:hAnsi="맑은 고딕"/>
                <w:sz w:val="20"/>
                <w:szCs w:val="20"/>
                <w:shd w:val="clear" w:color="000000" w:fill="auto"/>
                <w:spacing w:val="-4"/>
              </w:rPr>
              <w:t>다. </w:t>
            </w:r>
          </w:p>
        </w:tc>
        <w:tc>
          <w:tcPr>
            <w:tcW w:w="180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자구수정</w:t>
            </w:r>
          </w:p>
        </w:tc>
      </w:tr>
      <w:tr>
        <w:tc>
          <w:tcPr>
            <w:tcW w:w="8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규칙</w:t>
            </w:r>
          </w:p>
        </w:tc>
        <w:tc>
          <w:tcPr>
            <w:tcW w:w="1085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제19조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(141쪽)</w:t>
            </w:r>
          </w:p>
        </w:tc>
        <w:tc>
          <w:tcPr>
            <w:tcW w:w="521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③ 지회‧지부 임원은 총회에서 선출된 날의 다음 날부터 직무를 수행한다.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>다만, 대의원은 이사회의 인준을 받은 날부터 직무를 수행한다.</w:t>
            </w:r>
          </w:p>
        </w:tc>
        <w:tc>
          <w:tcPr>
            <w:tcW w:w="5032" w:type="dxa"/>
          </w:tcPr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③ 지회·지부 임원은 각 지회·지부 총회에서 선출하며,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 xml:space="preserve">임기는 </w:t>
            </w:r>
            <w:r>
              <w:rPr>
                <w:rFonts w:ascii="맑은 고딕" w:eastAsia="맑은 고딕" w:hAnsi="맑은 고딕" w:hint="default"/>
                <w:szCs w:val="20"/>
              </w:rPr>
              <w:t>임기 개시 연도 3월 1일부터 시작하여 만료 연도 2월 말일까지로 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b w:val="0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 xml:space="preserve">④ 제3항에도 불구하고, </w:t>
            </w:r>
            <w:r>
              <w:rPr>
                <w:rFonts w:ascii="맑은 고딕" w:eastAsia="맑은 고딕" w:hAnsi="맑은 고딕" w:hint="default"/>
                <w:szCs w:val="20"/>
                <w:u w:val="single" w:color="auto"/>
              </w:rPr>
              <w:t>지회·지부 임원은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  <w:u w:val="single" w:color="auto"/>
              </w:rPr>
              <w:t>총회에서 선출된 날부터 임기 개시 전일까지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u w:val="single" w:color="auto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color w:val="000000"/>
                <w:szCs w:val="20"/>
                <w:u w:val="single" w:color="auto"/>
              </w:rPr>
              <w:t xml:space="preserve">당선인의 지위에서 </w:t>
            </w:r>
            <w:r>
              <w:rPr>
                <w:rFonts w:ascii="맑은 고딕" w:eastAsia="맑은 고딕" w:hAnsi="맑은 고딕" w:hint="default"/>
                <w:color w:val="000000"/>
                <w:szCs w:val="20"/>
                <w:u w:val="single" w:color="auto"/>
              </w:rPr>
              <w:t>직무를 수행할 수 있다.</w:t>
            </w: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color w:val="000000"/>
                <w:szCs w:val="20"/>
              </w:rPr>
              <w:t>다만, 대의원은 이사회의 인준을 받은 날부터 직무를 수행한다.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⑤ 임기 만료 후에도 후임자가 선출될 때까지는</w:t>
            </w: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>계속하여 그 직무를 수행한다.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180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c>
          <w:tcPr>
            <w:tcW w:w="8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규칙</w:t>
            </w:r>
          </w:p>
        </w:tc>
        <w:tc>
          <w:tcPr>
            <w:tcW w:w="1085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제31조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(149쪽)</w:t>
            </w:r>
          </w:p>
        </w:tc>
        <w:tc>
          <w:tcPr>
            <w:tcW w:w="521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  <w:tc>
          <w:tcPr>
            <w:tcW w:w="503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b/>
                <w:bCs/>
                <w:szCs w:val="20"/>
              </w:rPr>
              <w:t>제31조(지회·지부의 해산 승인 및 청산)</w:t>
            </w:r>
            <w:r>
              <w:rPr>
                <w:lang w:eastAsia="ko-KR"/>
                <w:rFonts w:ascii="맑은 고딕" w:eastAsia="맑은 고딕" w:hAnsi="맑은 고딕" w:hint="default"/>
                <w:b/>
                <w:bCs/>
                <w:szCs w:val="20"/>
                <w:rtl w:val="off"/>
              </w:rPr>
              <w:t xml:space="preserve"> </w:t>
            </w:r>
            <w:r>
              <w:rPr>
                <w:rFonts w:ascii="맑은 고딕" w:eastAsia="맑은 고딕" w:hAnsi="맑은 고딕" w:hint="default"/>
                <w:szCs w:val="20"/>
              </w:rPr>
              <w:t>① 지회 및 지부는 각각의 회칙에서 정한 바에 따라 총회의 의결로 해산을 의결할 수 있다.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② 지회의 해산은 협회의 승인을 받아야 최종 확정된다.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③ 지부의 해산은 지회를 경유하여 협회의 승인을 받아야 최종 확정된다.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④ 회원 수의 현저한 감소, 조직 운영의 장기 중단 등으로 정상적인 운영이 곤란하다고 인정되는 경우에는 협회의 지도에 따라 지회를 통하여 통합 또는 해산할 수 있다.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⑤ 지회 또는 지부가 해산한 때에는 해당 회칙에서 정한 청산인이 채권·채무를 정리하고 잔여재산을 확정하여야 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⑥ 지회가 해산한 경우 잔여재산은 협회에 귀속한다.</w:t>
            </w:r>
          </w:p>
          <w:p>
            <w:pPr>
              <w:spacing w:after="0" w:before="0" w:line="360"/>
              <w:rPr>
                <w:lang w:eastAsia="ko-KR"/>
                <w:rFonts w:ascii="맑은 고딕" w:eastAsia="맑은 고딕" w:hAnsi="맑은 고딕" w:hint="eastAsia"/>
                <w:szCs w:val="20"/>
                <w:rtl w:val="off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⑦ 지부가 해산한 경우 잔여재산은 지회에 귀속한다.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rFonts w:ascii="맑은 고딕" w:eastAsia="맑은 고딕" w:hAnsi="맑은 고딕" w:hint="default"/>
                <w:szCs w:val="20"/>
              </w:rPr>
              <w:t>⑧ 청산 절차 및 재산 귀속에 관한 세부사항은 회장이 따로 정할 수 있다.</w:t>
            </w:r>
          </w:p>
        </w:tc>
        <w:tc>
          <w:tcPr>
            <w:tcW w:w="1804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'지회‧지부 설치 및 운영 규정'의 내용을 규칙에 규정하고자 함</w:t>
            </w:r>
          </w:p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(이후 조번호는 순연 번호함)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</w:p>
        </w:tc>
      </w:tr>
      <w:tr>
        <w:trPr>
          <w:trHeight w:val="1679" w:hRule="atLeast"/>
        </w:trPr>
        <w:tc>
          <w:tcPr>
            <w:tcW w:w="821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규칙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szCs w:val="20"/>
                <w:rtl w:val="off"/>
              </w:rPr>
              <w:t>규칙</w:t>
            </w:r>
          </w:p>
        </w:tc>
        <w:tc>
          <w:tcPr>
            <w:tcW w:w="1085" w:type="dxa"/>
          </w:tcPr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부칙</w:t>
            </w:r>
          </w:p>
          <w:p>
            <w:pPr>
              <w:pStyle w:val="a1"/>
              <w:widowControl w:val="off"/>
              <w:spacing w:after="0" w:before="0" w:line="360"/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제2조</w:t>
            </w:r>
          </w:p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(160쪽)</w:t>
            </w:r>
          </w:p>
        </w:tc>
        <w:tc>
          <w:tcPr>
            <w:tcW w:w="5212" w:type="dxa"/>
          </w:tcPr>
          <w:p>
            <w:pPr>
              <w:pStyle w:val="a1"/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u w:val="none" w:color="auto"/>
                <w:rtl w:val="off"/>
              </w:rPr>
              <w:t>③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 xml:space="preserve"> </w:t>
            </w:r>
            <w:r>
              <w:rPr>
                <w:rFonts w:ascii="맑은 고딕" w:eastAsia="맑은 고딕" w:hAnsi="맑은 고딕" w:hint="default"/>
                <w:color w:val="000000"/>
                <w:szCs w:val="20"/>
                <w:u w:val="none" w:color="auto"/>
              </w:rPr>
              <w:t>이 규칙 시행 당시 설치되어 있는 지회 및 지부의 조직과 임원은 이 규칙에 저촉되지 아니하는 범위에서 존속하는 것으로 본다.</w:t>
            </w:r>
          </w:p>
        </w:tc>
        <w:tc>
          <w:tcPr>
            <w:tcW w:w="5032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u w:val="none" w:color="auto"/>
                <w:rtl w:val="off"/>
              </w:rPr>
              <w:t>③</w:t>
            </w:r>
            <w:r>
              <w:rPr>
                <w:rFonts w:ascii="맑은 고딕" w:eastAsia="맑은 고딕" w:hAnsi="맑은 고딕"/>
                <w:color w:val="000000"/>
                <w:szCs w:val="20"/>
                <w:u w:val="none" w:color="auto"/>
              </w:rPr>
              <w:t xml:space="preserve"> </w:t>
            </w:r>
            <w:r>
              <w:rPr>
                <w:rFonts w:ascii="맑은 고딕" w:eastAsia="맑은 고딕" w:hAnsi="맑은 고딕" w:hint="default"/>
                <w:color w:val="000000"/>
                <w:szCs w:val="20"/>
                <w:u w:val="none" w:color="auto"/>
              </w:rPr>
              <w:t xml:space="preserve">이 규칙 시행 당시 설치되어 있는 지회 및 지부의 조직과 임원은 이 규칙에 저촉되지 아니하는 범위에서 존속하는 것으로 </w:t>
            </w: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u w:val="none" w:color="auto"/>
                <w:rtl w:val="off"/>
              </w:rPr>
              <w:t xml:space="preserve">보며, </w:t>
            </w: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u w:val="single" w:color="auto"/>
                <w:rtl w:val="off"/>
              </w:rPr>
              <w:t>임기 개시일을 2024년 3월 1일로</w:t>
            </w:r>
            <w:r>
              <w:rPr>
                <w:lang w:eastAsia="ko-KR"/>
                <w:rFonts w:ascii="맑은 고딕" w:eastAsia="맑은 고딕" w:hAnsi="맑은 고딕" w:hint="default"/>
                <w:color w:val="000000"/>
                <w:szCs w:val="20"/>
                <w:u w:val="none" w:color="auto"/>
                <w:rtl w:val="off"/>
              </w:rPr>
              <w:t xml:space="preserve"> 하여 이 규칙에 따라 취임한 것으로 본다.</w:t>
            </w:r>
          </w:p>
        </w:tc>
        <w:tc>
          <w:tcPr>
            <w:tcW w:w="1804" w:type="dxa"/>
          </w:tcPr>
          <w:p>
            <w:pPr>
              <w:spacing w:after="0" w:before="0" w:line="360"/>
              <w:rPr>
                <w:rFonts w:ascii="맑은 고딕" w:eastAsia="맑은 고딕" w:hAnsi="맑은 고딕" w:hint="default"/>
                <w:szCs w:val="20"/>
              </w:rPr>
            </w:pPr>
            <w:r>
              <w:rPr>
                <w:lang w:eastAsia="ko-KR"/>
                <w:rFonts w:ascii="맑은 고딕" w:eastAsia="맑은 고딕" w:hAnsi="맑은 고딕" w:hint="eastAsia"/>
                <w:color w:val="000000"/>
                <w:szCs w:val="20"/>
                <w:rtl w:val="off"/>
              </w:rPr>
              <w:t>협회 임원 임기와 일치</w:t>
            </w:r>
          </w:p>
        </w:tc>
      </w:tr>
    </w:tbl>
    <w:p/>
    <w:sectPr>
      <w:pgSz w:w="16838" w:h="11906" w:orient="landscape"/>
      <w:pgMar w:top="1701" w:right="1440" w:bottom="1440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b2"/>
    </w:pPr>
    <w:r>
      <w:rPr>
        <w:lang w:val="ko-KR" w:eastAsia="ko-KR"/>
        <w:rtl w:val="off"/>
      </w:rPr>
      <w:t>정관개정(안) 규칙제정(안) 정오표</w:t>
    </w:r>
  </w:p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uiPriority w:val="39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default="1" w:styleId="a1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b2">
    <w:name w:val="header"/>
    <w:uiPriority w:val="99"/>
    <w:basedOn w:val="a2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2026-03-03T00:04:56Z</dcterms:created>
  <dcterms:modified xsi:type="dcterms:W3CDTF">2026-03-02T15:30:07Z</dcterms:modified>
  <cp:version>1100.0100.01</cp:version>
</cp:coreProperties>
</file>